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China's investment on BRI countries (2003-2019)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1) China's investment on BRI countries from 2003 to 2019.</w:t>
        <w:br/>
        <w:t>2) The Data comes from UNCTAD database.</w:t>
        <w:br/>
        <w:t>3) The data quality is good. However, the data of Syria, Tajikistan, Nepal, Myanmar, Brunei and Maldives are missing.</w:t>
        <w:br/>
        <w:t>4) The data could reveal China's investment on BRI countries since 2003.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Social and Economic</w:t>
        <w:br/>
      </w:r>
      <w:r>
        <w:rPr>
          <w:sz w:val="22"/>
        </w:rPr>
        <w:t>Discipline：</w:t>
      </w:r>
      <w:r>
        <w:rPr>
          <w:sz w:val="22"/>
        </w:rPr>
        <w:t>Others</w:t>
      </w:r>
      <w:r>
        <w:t>,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BRI Countries</w:t>
        <w:br/>
      </w:r>
      <w:r>
        <w:rPr>
          <w:sz w:val="22"/>
        </w:rPr>
        <w:t>Time：</w:t>
      </w:r>
      <w:r>
        <w:rPr>
          <w:sz w:val="22"/>
        </w:rPr>
        <w:t>From 2003 to 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3.Filesize：0.018MB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west：14.26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2019-12-30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China's investment on BRI countries (2003-2019). A Big Earth Data Platform for Three Poles, 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