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transportation, water system, farmland and built up area in Yangon deepwater port area (2019)</w:t>
      </w:r>
    </w:p>
    <w:p>
      <w:r>
        <w:rPr>
          <w:sz w:val="32"/>
        </w:rPr>
        <w:t>1、Description</w:t>
      </w:r>
    </w:p>
    <w:p>
      <w:pPr>
        <w:ind w:firstLine="432"/>
      </w:pPr>
      <w:r>
        <w:rPr>
          <w:sz w:val="22"/>
        </w:rPr>
        <w:t>The data set includes the road condition, water system condition and land use situation of Yangon deep water port central city. The road dataset includes both roads and railways, while the water system dataset includes rivers and lakes. The road data set and water system data set are vector data, and the land use data set is grid data with 10m resolution. The classification system of land use is: 10. Forest forest; 20. Cultivated land; 21. Paddy filed paddy field; 22. Dry farmland; 30. Water body; 31. River river river; 32. Lake Lake (including reservoirs and ponds); 33. Wetland; 40. Artificial surface; 43. Mining area; 50. Bareland Bare soil, bare rock, desert and so on, based on the limited sample accuracy analysis of the data, the classification accuracy is about 90%.</w:t>
      </w:r>
    </w:p>
    <w:p>
      <w:r>
        <w:rPr>
          <w:sz w:val="32"/>
        </w:rPr>
        <w:t>2、Keywords</w:t>
      </w:r>
    </w:p>
    <w:p>
      <w:pPr>
        <w:ind w:left="432"/>
      </w:pPr>
      <w:r>
        <w:rPr>
          <w:sz w:val="22"/>
        </w:rPr>
        <w:t>Theme：</w:t>
      </w:r>
      <w:r>
        <w:rPr>
          <w:sz w:val="22"/>
        </w:rPr>
        <w:t>Transportation</w:t>
      </w:r>
      <w:r>
        <w:t>,</w:t>
      </w:r>
      <w:r>
        <w:rPr>
          <w:sz w:val="22"/>
        </w:rPr>
        <w:t>Traffic</w:t>
      </w:r>
      <w:r>
        <w:t>,</w:t>
      </w:r>
      <w:r>
        <w:rPr>
          <w:sz w:val="22"/>
        </w:rPr>
        <w:t>Railway</w:t>
      </w:r>
      <w:r>
        <w:t>,</w:t>
      </w:r>
      <w:r>
        <w:rPr>
          <w:sz w:val="22"/>
        </w:rPr>
        <w:t>Land Resources</w:t>
      </w:r>
      <w:r>
        <w:t>,</w:t>
      </w:r>
      <w:r>
        <w:rPr>
          <w:sz w:val="22"/>
        </w:rPr>
        <w:t>Land use type</w:t>
        <w:br/>
      </w:r>
      <w:r>
        <w:rPr>
          <w:sz w:val="22"/>
        </w:rPr>
        <w:t>Discipline：</w:t>
      </w:r>
      <w:r>
        <w:rPr>
          <w:sz w:val="22"/>
        </w:rPr>
        <w:t>Human-nature Relationship</w:t>
        <w:br/>
      </w:r>
      <w:r>
        <w:rPr>
          <w:sz w:val="22"/>
        </w:rPr>
        <w:t>Places：</w:t>
      </w:r>
      <w:r>
        <w:rPr>
          <w:sz w:val="22"/>
        </w:rPr>
        <w:t>Burma Port, Yangon, Djibouti, Mandalay, Port of Hambantota, Port of Colombo, Taiyong Rayong Industrial Zone, Bangkok</w:t>
        <w:br/>
      </w:r>
      <w:r>
        <w:rPr>
          <w:sz w:val="22"/>
        </w:rPr>
        <w:t>Time：</w:t>
      </w:r>
      <w:r>
        <w:rPr>
          <w:sz w:val="22"/>
        </w:rPr>
        <w:t>2019-2020</w:t>
      </w:r>
    </w:p>
    <w:p>
      <w:r>
        <w:rPr>
          <w:sz w:val="32"/>
        </w:rPr>
        <w:t>3、Data details</w:t>
      </w:r>
    </w:p>
    <w:p>
      <w:pPr>
        <w:ind w:left="432"/>
      </w:pPr>
      <w:r>
        <w:rPr>
          <w:sz w:val="22"/>
        </w:rPr>
        <w:t>1.Scale：10</w:t>
      </w:r>
    </w:p>
    <w:p>
      <w:pPr>
        <w:ind w:left="432"/>
      </w:pPr>
      <w:r>
        <w:rPr>
          <w:sz w:val="22"/>
        </w:rPr>
        <w:t>2.Projection：WGS84</w:t>
      </w:r>
    </w:p>
    <w:p>
      <w:pPr>
        <w:ind w:left="432"/>
      </w:pPr>
      <w:r>
        <w:rPr>
          <w:sz w:val="22"/>
        </w:rPr>
        <w:t>3.Filesize：13.5MB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north：17.1</w:t>
            </w:r>
          </w:p>
        </w:tc>
        <w:tc>
          <w:tcPr>
            <w:tcW w:type="dxa" w:w="2880"/>
          </w:tcPr>
          <w:p>
            <w:r>
              <w:t>-</w:t>
            </w:r>
          </w:p>
        </w:tc>
      </w:tr>
      <w:tr>
        <w:tc>
          <w:tcPr>
            <w:tcW w:type="dxa" w:w="2880"/>
          </w:tcPr>
          <w:p>
            <w:r>
              <w:t>west：95.9</w:t>
            </w:r>
          </w:p>
        </w:tc>
        <w:tc>
          <w:tcPr>
            <w:tcW w:type="dxa" w:w="2880"/>
          </w:tcPr>
          <w:p>
            <w:r>
              <w:t>-</w:t>
            </w:r>
          </w:p>
        </w:tc>
        <w:tc>
          <w:tcPr>
            <w:tcW w:type="dxa" w:w="2880"/>
          </w:tcPr>
          <w:p>
            <w:r>
              <w:t>east：96.4</w:t>
            </w:r>
          </w:p>
        </w:tc>
      </w:tr>
      <w:tr>
        <w:tc>
          <w:tcPr>
            <w:tcW w:type="dxa" w:w="2880"/>
          </w:tcPr>
          <w:p>
            <w:r>
              <w:t>-</w:t>
            </w:r>
          </w:p>
        </w:tc>
        <w:tc>
          <w:tcPr>
            <w:tcW w:type="dxa" w:w="2880"/>
          </w:tcPr>
          <w:p>
            <w:r>
              <w:t>south：16.5</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GE  Yong, LI  Qiangzi, LI  Yi. Spatial distribution data set of transportation, water system, farmland and built up area in Yangon deepwater port area (2019). A Big Earth Data Platform for Three Poles, doi:10.11888/Geogra.tpdc.271052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Yi</w:t>
        <w:br/>
      </w:r>
      <w:r>
        <w:rPr>
          <w:sz w:val="22"/>
        </w:rPr>
        <w:t xml:space="preserve">unit: </w:t>
      </w:r>
      <w:r>
        <w:rPr>
          <w:sz w:val="22"/>
        </w:rPr>
        <w:t>Institute of Remote Sensing and Digital Earth</w:t>
        <w:br/>
      </w:r>
      <w:r>
        <w:rPr>
          <w:sz w:val="22"/>
        </w:rPr>
        <w:t xml:space="preserve">email: </w:t>
      </w:r>
      <w:r>
        <w:rPr>
          <w:sz w:val="22"/>
        </w:rPr>
        <w:t>liyi@radi.ac.cn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