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resident site distribution dataset of the north slope of Tianshan River Basin (2000)</w:t>
      </w:r>
    </w:p>
    <w:p>
      <w:r>
        <w:rPr>
          <w:sz w:val="32"/>
        </w:rPr>
        <w:t>1、Description</w:t>
      </w:r>
    </w:p>
    <w:p>
      <w:pPr>
        <w:ind w:firstLine="432"/>
      </w:pPr>
      <w:r>
        <w:rPr>
          <w:sz w:val="22"/>
        </w:rPr>
        <w:t>The data is the resident site distribution dataset of the north slope of Tianshan River Basin, including the hierarchical distribution of cities, counties, towns and villages at the north slope of Tianshan River Basin. The data mainly has two attribute fields: Code (residential area code) and Name (residential area name).</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River basins at the northern foot of Tianshan Mountains</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3.Filesize：0.16MB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The resident site distribution dataset of the north slope of Tianshan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