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Comparison vegetation parameters inside and outside the project area</w:t>
      </w:r>
    </w:p>
    <w:p>
      <w:r>
        <w:rPr>
          <w:sz w:val="32"/>
        </w:rPr>
        <w:t>1、Description</w:t>
      </w:r>
    </w:p>
    <w:p>
      <w:pPr>
        <w:ind w:firstLine="432"/>
      </w:pPr>
      <w:r>
        <w:rPr>
          <w:sz w:val="22"/>
        </w:rPr>
        <w:t>1) Data content: the data are field sampling data of fence project, including sample number, grassland type, survey County, survey location, project type, project start time, "longitude (° E)", "latitude (° n)", "altitude (m)", "total coverage (%)," average height (CM) ", aboveground biomass (g / m2), underground biomass (g / m2), and total biomass (g / m2),</w:t>
        <w:br/>
        <w:t>2) Data source: field sampling data</w:t>
        <w:br/>
        <w:t>3) Data quality: high quality.</w:t>
        <w:br/>
        <w:t>4) Data application prospects: it will be of great significance for promoting the development of local animal husbandry and improving the local economic benefits by deeply exploring the grassland fence project on the Qinghai Tibet Plateau. In terms of the expected results, the Qinghai Tibet Plateau grassland fencing project will achieve remarkable results in protecting grassland and restoring regional vegetation productivity. The implementation of the project provides a broader space for the development of regional animal husbandry, and ensures the stable growth of local farmers and herdsmen's income and regional economy. In addition, the implementation of the project ensures and supports the normal production and life of Tibetan herdsmen, and realizes the stable development of grassland protection and animal husbandry production of herdsmen in the pastoral areas, which is of great significance for maintaining the overall stability of Tibet society and promoting the sound and rapid development of Tibet.</w:t>
      </w:r>
    </w:p>
    <w:p>
      <w:r>
        <w:rPr>
          <w:sz w:val="32"/>
        </w:rPr>
        <w:t>2、Keywords</w:t>
      </w:r>
    </w:p>
    <w:p>
      <w:pPr>
        <w:ind w:left="432"/>
      </w:pPr>
      <w:r>
        <w:rPr>
          <w:sz w:val="22"/>
        </w:rPr>
        <w:t>Theme：</w:t>
      </w:r>
      <w:r>
        <w:rPr>
          <w:sz w:val="22"/>
        </w:rPr>
        <w:t>Vegetation</w:t>
      </w:r>
      <w:r>
        <w:t>,</w:t>
      </w:r>
      <w:r>
        <w:rPr>
          <w:sz w:val="22"/>
        </w:rPr>
        <w:t>Grassland</w:t>
      </w:r>
      <w:r>
        <w:t>,</w:t>
      </w:r>
      <w:r>
        <w:rPr>
          <w:sz w:val="22"/>
        </w:rPr>
        <w:t>Biomass</w:t>
      </w:r>
      <w:r>
        <w:t>,</w:t>
      </w:r>
      <w:r>
        <w:rPr>
          <w:sz w:val="22"/>
        </w:rPr>
        <w:t>Vegetation cover</w:t>
        <w:br/>
      </w:r>
      <w:r>
        <w:rPr>
          <w:sz w:val="22"/>
        </w:rPr>
        <w:t>Discipline：</w:t>
      </w:r>
      <w:r>
        <w:rPr>
          <w:sz w:val="22"/>
        </w:rPr>
        <w:t>Terrestrial Surface</w:t>
        <w:br/>
      </w:r>
      <w:r>
        <w:rPr>
          <w:sz w:val="22"/>
        </w:rPr>
        <w:t>Places：</w:t>
      </w:r>
      <w:r>
        <w:rPr>
          <w:sz w:val="22"/>
        </w:rPr>
        <w:t>Tibet Autonomous Region</w:t>
        <w:br/>
      </w:r>
      <w:r>
        <w:rPr>
          <w:sz w:val="22"/>
        </w:rPr>
        <w:t>Time：</w:t>
      </w:r>
      <w:r>
        <w:rPr>
          <w:sz w:val="22"/>
        </w:rPr>
        <w:t>2006-2011</w:t>
      </w:r>
      <w:r>
        <w:t xml:space="preserve">, </w:t>
      </w:r>
      <w:r>
        <w:rPr>
          <w:sz w:val="22"/>
        </w:rPr>
        <w:t>Nearly 20 years</w:t>
      </w:r>
    </w:p>
    <w:p>
      <w:r>
        <w:rPr>
          <w:sz w:val="32"/>
        </w:rPr>
        <w:t>3、Data details</w:t>
      </w:r>
    </w:p>
    <w:p>
      <w:pPr>
        <w:ind w:left="432"/>
      </w:pPr>
      <w:r>
        <w:rPr>
          <w:sz w:val="22"/>
        </w:rPr>
        <w:t>1.Scale：None</w:t>
      </w:r>
    </w:p>
    <w:p>
      <w:pPr>
        <w:ind w:left="432"/>
      </w:pPr>
      <w:r>
        <w:rPr>
          <w:sz w:val="22"/>
        </w:rPr>
        <w:t>2.Projection：GCS_Xian_1980</w:t>
      </w:r>
    </w:p>
    <w:p>
      <w:pPr>
        <w:ind w:left="432"/>
      </w:pPr>
      <w:r>
        <w:rPr>
          <w:sz w:val="22"/>
        </w:rPr>
        <w:t>3.Filesize：0.015MB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north：32.26</w:t>
            </w:r>
          </w:p>
        </w:tc>
        <w:tc>
          <w:tcPr>
            <w:tcW w:type="dxa" w:w="2880"/>
          </w:tcPr>
          <w:p>
            <w:r>
              <w:t>-</w:t>
            </w:r>
          </w:p>
        </w:tc>
      </w:tr>
      <w:tr>
        <w:tc>
          <w:tcPr>
            <w:tcW w:type="dxa" w:w="2880"/>
          </w:tcPr>
          <w:p>
            <w:r>
              <w:t>west：84.82</w:t>
            </w:r>
          </w:p>
        </w:tc>
        <w:tc>
          <w:tcPr>
            <w:tcW w:type="dxa" w:w="2880"/>
          </w:tcPr>
          <w:p>
            <w:r>
              <w:t>-</w:t>
            </w:r>
          </w:p>
        </w:tc>
        <w:tc>
          <w:tcPr>
            <w:tcW w:type="dxa" w:w="2880"/>
          </w:tcPr>
          <w:p>
            <w:r>
              <w:t>east：92.28</w:t>
            </w:r>
          </w:p>
        </w:tc>
      </w:tr>
      <w:tr>
        <w:tc>
          <w:tcPr>
            <w:tcW w:type="dxa" w:w="2880"/>
          </w:tcPr>
          <w:p>
            <w:r>
              <w:t>-</w:t>
            </w:r>
          </w:p>
        </w:tc>
        <w:tc>
          <w:tcPr>
            <w:tcW w:type="dxa" w:w="2880"/>
          </w:tcPr>
          <w:p>
            <w:r>
              <w:t>south：29.47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HONG Jiangtao, WANG Xiaodan. Comparison vegetation parameters inside and outside the project area. A Big Earth Data Platform for Three Poles, doi:10.11888/Ecolo.tpdc.271103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Xiaodan</w:t>
        <w:br/>
      </w:r>
      <w:r>
        <w:rPr>
          <w:sz w:val="22"/>
        </w:rPr>
        <w:t xml:space="preserve">unit: </w:t>
      </w:r>
      <w:r>
        <w:rPr>
          <w:sz w:val="22"/>
        </w:rPr>
        <w:t>Institute of Mountain Hazards and Environment (IMHE), Chinese Academy of Sciences</w:t>
        <w:br/>
      </w:r>
      <w:r>
        <w:rPr>
          <w:sz w:val="22"/>
        </w:rPr>
        <w:t xml:space="preserve">email: </w:t>
      </w:r>
      <w:r>
        <w:rPr>
          <w:sz w:val="22"/>
        </w:rPr>
        <w:t>wxd@imde.ac.cn</w:t>
        <w:br/>
        <w:br/>
      </w:r>
      <w:r>
        <w:rPr>
          <w:sz w:val="22"/>
        </w:rPr>
        <w:t xml:space="preserve">name: </w:t>
      </w:r>
      <w:r>
        <w:rPr>
          <w:sz w:val="22"/>
        </w:rPr>
        <w:t>HONG Jiangtao</w:t>
        <w:br/>
      </w:r>
      <w:r>
        <w:rPr>
          <w:sz w:val="22"/>
        </w:rPr>
        <w:t xml:space="preserve">unit: </w:t>
      </w:r>
      <w:r>
        <w:rPr>
          <w:sz w:val="22"/>
        </w:rPr>
        <w:br/>
      </w:r>
      <w:r>
        <w:rPr>
          <w:sz w:val="22"/>
        </w:rPr>
        <w:t xml:space="preserve">email: </w:t>
      </w:r>
      <w:r>
        <w:rPr>
          <w:sz w:val="22"/>
        </w:rPr>
        <w:t>hongjiangtao@imde.ac.cn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