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Resilience dataset for domestic economic systems in countries along the "Belt and Road"</w:t>
      </w:r>
    </w:p>
    <w:p>
      <w:r>
        <w:rPr>
          <w:sz w:val="32"/>
        </w:rPr>
        <w:t>1、Description</w:t>
      </w:r>
    </w:p>
    <w:p>
      <w:pPr>
        <w:ind w:firstLine="432"/>
      </w:pPr>
      <w:r>
        <w:rPr>
          <w:sz w:val="22"/>
        </w:rPr>
        <w:t>"The resilience of the domestic economic systems of the countries along the Belt and Road reflects the level of resilience of the domestic economic systems of each country, and the higher the value of the data, the stronger the resilience of the domestic economic systems of the countries along the Belt and Road. The resilience of domestic economic systems includes macroeconomic development resilience, industrial and service sector development resilience, and the data products are prepared with reference to the World Bank statistical database, using GDP per capita, gross fixed capital formation as a percentage of GDP, inflation as measured by GDP deflator, and gross savings as measured by GDP deflator for countries along the Belt and Road from 2000 to 2019. The resilience products of the domestic economic system are prepared through a comprehensive diagnosis based on sensitivity and adaptability analysis, taking into account the year-on-year changes of each indicator, using year-on-year data of six indicators: GDP per capita, gross fixed capital formation as a percentage of GDP, gross savings as a percentage of GDP, industrial value added as a percentage of GDP, and service value added as a percentage of GDP. "The resilience dataset of the domestic economic systems of the countries along the Belt and Road is an important reference for analysing and comparing the resilience of the domestic economic systems of various countries.</w:t>
      </w:r>
    </w:p>
    <w:p>
      <w:r>
        <w:rPr>
          <w:sz w:val="32"/>
        </w:rPr>
        <w:t>2、Keywords</w:t>
      </w:r>
    </w:p>
    <w:p>
      <w:pPr>
        <w:ind w:left="432"/>
      </w:pPr>
      <w:r>
        <w:rPr>
          <w:sz w:val="22"/>
        </w:rPr>
        <w:t>Theme：</w:t>
      </w:r>
      <w:r>
        <w:rPr>
          <w:sz w:val="22"/>
        </w:rPr>
        <w:t>Social and Economic</w:t>
      </w:r>
      <w:r>
        <w:t>,</w:t>
      </w:r>
      <w:r>
        <w:rPr>
          <w:sz w:val="22"/>
        </w:rPr>
        <w:t>Social economy</w:t>
        <w:br/>
      </w:r>
      <w:r>
        <w:rPr>
          <w:sz w:val="22"/>
        </w:rPr>
        <w:t>Discipline：</w:t>
      </w:r>
      <w:r>
        <w:rPr>
          <w:sz w:val="22"/>
        </w:rPr>
        <w:t>Human-nature Relationship</w:t>
        <w:br/>
      </w:r>
      <w:r>
        <w:rPr>
          <w:sz w:val="22"/>
        </w:rPr>
        <w:t>Places：</w:t>
      </w:r>
      <w:r>
        <w:rPr>
          <w:sz w:val="22"/>
        </w:rPr>
        <w:t>BRI Countries</w:t>
        <w:br/>
      </w:r>
      <w:r>
        <w:rPr>
          <w:sz w:val="22"/>
        </w:rPr>
        <w:t>Time：</w:t>
      </w:r>
      <w:r>
        <w:rPr>
          <w:sz w:val="22"/>
        </w:rPr>
        <w:t>Nearly 20 years</w:t>
      </w:r>
    </w:p>
    <w:p>
      <w:r>
        <w:rPr>
          <w:sz w:val="32"/>
        </w:rPr>
        <w:t>3、Data details</w:t>
      </w:r>
    </w:p>
    <w:p>
      <w:pPr>
        <w:ind w:left="432"/>
      </w:pPr>
      <w:r>
        <w:rPr>
          <w:sz w:val="22"/>
        </w:rPr>
        <w:t>1.Scale：None</w:t>
      </w:r>
    </w:p>
    <w:p>
      <w:pPr>
        <w:ind w:left="432"/>
      </w:pPr>
      <w:r>
        <w:rPr>
          <w:sz w:val="22"/>
        </w:rPr>
        <w:t>2.Projection：</w:t>
      </w:r>
    </w:p>
    <w:p>
      <w:pPr>
        <w:ind w:left="432"/>
      </w:pPr>
      <w:r>
        <w:rPr>
          <w:sz w:val="22"/>
        </w:rPr>
        <w:t>3.Filesize：17.1MB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north：81.87</w:t>
            </w:r>
          </w:p>
        </w:tc>
        <w:tc>
          <w:tcPr>
            <w:tcW w:type="dxa" w:w="2880"/>
          </w:tcPr>
          <w:p>
            <w:r>
              <w:t>-</w:t>
            </w:r>
          </w:p>
        </w:tc>
      </w:tr>
      <w:tr>
        <w:tc>
          <w:tcPr>
            <w:tcW w:type="dxa" w:w="2880"/>
          </w:tcPr>
          <w:p>
            <w:r>
              <w:t>west：12.09</w:t>
            </w:r>
          </w:p>
        </w:tc>
        <w:tc>
          <w:tcPr>
            <w:tcW w:type="dxa" w:w="2880"/>
          </w:tcPr>
          <w:p>
            <w:r>
              <w:t>-</w:t>
            </w:r>
          </w:p>
        </w:tc>
        <w:tc>
          <w:tcPr>
            <w:tcW w:type="dxa" w:w="2880"/>
          </w:tcPr>
          <w:p>
            <w:r>
              <w:t>east：180.0</w:t>
            </w:r>
          </w:p>
        </w:tc>
      </w:tr>
      <w:tr>
        <w:tc>
          <w:tcPr>
            <w:tcW w:type="dxa" w:w="2880"/>
          </w:tcPr>
          <w:p>
            <w:r>
              <w:t>-</w:t>
            </w:r>
          </w:p>
        </w:tc>
        <w:tc>
          <w:tcPr>
            <w:tcW w:type="dxa" w:w="2880"/>
          </w:tcPr>
          <w:p>
            <w:r>
              <w:t>south：-10.99</w:t>
            </w:r>
          </w:p>
        </w:tc>
        <w:tc>
          <w:tcPr>
            <w:tcW w:type="dxa" w:w="2880"/>
          </w:tcPr>
          <w:p>
            <w:r>
              <w:t>-</w:t>
            </w:r>
          </w:p>
        </w:tc>
      </w:tr>
    </w:tbl>
    <w:p>
      <w:r>
        <w:rPr>
          <w:sz w:val="32"/>
        </w:rPr>
        <w:t>5、Time frame:</w:t>
      </w:r>
      <w:r>
        <w:rPr>
          <w:sz w:val="22"/>
        </w:rPr>
        <w:t>None</w:t>
      </w:r>
      <w:r>
        <w:rPr>
          <w:sz w:val="22"/>
        </w:rPr>
        <w:t>--</w:t>
      </w:r>
      <w:r>
        <w:rPr>
          <w:sz w:val="22"/>
        </w:rPr>
        <w:t>None</w:t>
      </w:r>
    </w:p>
    <w:p>
      <w:r>
        <w:rPr>
          <w:sz w:val="32"/>
        </w:rPr>
        <w:t>6、Reference method</w:t>
      </w:r>
    </w:p>
    <w:p>
      <w:pPr>
        <w:ind w:left="432"/>
      </w:pPr>
      <w:r>
        <w:rPr>
          <w:sz w:val="22"/>
        </w:rPr>
        <w:t xml:space="preserve">References to data: </w:t>
      </w:r>
    </w:p>
    <w:p>
      <w:pPr>
        <w:ind w:left="432" w:firstLine="432"/>
      </w:pPr>
      <w:r>
        <w:t xml:space="preserve">XU Xinliang. Resilience dataset for domestic economic systems in countries along the "Belt and Road". A Big Earth Data Platform for Three Poles, </w:t>
      </w:r>
      <w:r>
        <w:rPr>
          <w:sz w:val="22"/>
        </w:rPr>
        <w:t>2022</w:t>
      </w:r>
    </w:p>
    <w:p>
      <w:pPr>
        <w:ind w:left="432"/>
      </w:pPr>
      <w:r>
        <w:rPr>
          <w:sz w:val="22"/>
        </w:rPr>
        <w:t xml:space="preserve">References to articles: </w:t>
      </w:r>
    </w:p>
    <w:p>
      <w:pPr>
        <w:ind w:left="864"/>
      </w:pPr>
    </w:p>
    <w:p>
      <w:r>
        <w:rPr>
          <w:sz w:val="32"/>
        </w:rPr>
        <w:t>7、Supporting project information</w:t>
      </w:r>
    </w:p>
    <w:p>
      <w:pPr>
        <w:ind w:left="432"/>
      </w:pPr>
      <w:r>
        <w:rPr>
          <w:sz w:val="22"/>
        </w:rPr>
        <w:t>Pan-Third Pole Environment Study for a Green Silk Road-A CAS Strategic Priority A Program</w:t>
        <w:br/>
      </w:r>
    </w:p>
    <w:p>
      <w:r>
        <w:rPr>
          <w:sz w:val="32"/>
        </w:rPr>
        <w:t>8、Data resource provider</w:t>
      </w:r>
    </w:p>
    <w:p>
      <w:pPr>
        <w:ind w:left="432"/>
      </w:pPr>
      <w:r>
        <w:rPr>
          <w:sz w:val="22"/>
        </w:rPr>
        <w:t xml:space="preserve">name: </w:t>
      </w:r>
      <w:r>
        <w:rPr>
          <w:sz w:val="22"/>
        </w:rPr>
        <w:t>XU Xinliang</w:t>
        <w:br/>
      </w:r>
      <w:r>
        <w:rPr>
          <w:sz w:val="22"/>
        </w:rPr>
        <w:t xml:space="preserve">unit: </w:t>
      </w:r>
      <w:r>
        <w:rPr>
          <w:sz w:val="22"/>
        </w:rPr>
        <w:t>Institute of Geographical Sciences and Natural Resource Research, CAS</w:t>
        <w:br/>
      </w:r>
      <w:r>
        <w:rPr>
          <w:sz w:val="22"/>
        </w:rPr>
        <w:t xml:space="preserve">email: </w:t>
      </w:r>
      <w:r>
        <w:rPr>
          <w:sz w:val="22"/>
        </w:rPr>
        <w:t>xuxl@lreis.ac.cn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