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Disribution of desert oil-gas fields and oasis cities in Central Asia (2012-2016)</w:t>
      </w:r>
    </w:p>
    <w:p>
      <w:r>
        <w:rPr>
          <w:sz w:val="32"/>
        </w:rPr>
        <w:t>1、Description</w:t>
      </w:r>
    </w:p>
    <w:p>
      <w:pPr>
        <w:ind w:firstLine="432"/>
      </w:pPr>
      <w:r>
        <w:rPr>
          <w:sz w:val="22"/>
        </w:rPr>
        <w:t>The distribution data of Central Asia desert oil and gas fields are in the form of vector data in ". SHP". Including the distribution of oil and gas fields and major urban settlements in the five Central Asian countries. The data is extracted and cut from modis-mcd12q product. The spatial resolution of the product is 500 m, and the time resolution is 1 year. IGBP global vegetation classification scheme is adopted as the classification standard. The scheme is divided into 17 land cover types, among which the urban data uses the construction and urban land in the scheme. The data can provide data support for the assessment and prevention of sandstorm disasters in Central Asia desert oil and gas fields and green town.</w:t>
      </w:r>
    </w:p>
    <w:p>
      <w:r>
        <w:rPr>
          <w:sz w:val="32"/>
        </w:rPr>
        <w:t>2、Keywords</w:t>
      </w:r>
    </w:p>
    <w:p>
      <w:pPr>
        <w:ind w:left="432"/>
      </w:pPr>
      <w:r>
        <w:rPr>
          <w:sz w:val="22"/>
        </w:rPr>
        <w:t>Theme：</w:t>
      </w:r>
      <w:r>
        <w:rPr>
          <w:sz w:val="22"/>
        </w:rPr>
        <w:t>Division</w:t>
      </w:r>
      <w:r>
        <w:t>,</w:t>
      </w:r>
      <w:r>
        <w:rPr>
          <w:sz w:val="22"/>
        </w:rPr>
        <w:t>Urbanization rate</w:t>
      </w:r>
      <w:r>
        <w:t>,</w:t>
      </w:r>
      <w:r>
        <w:rPr>
          <w:sz w:val="22"/>
        </w:rPr>
        <w:t>Population</w:t>
      </w:r>
      <w:r>
        <w:t>,</w:t>
      </w:r>
      <w:r>
        <w:rPr>
          <w:sz w:val="22"/>
        </w:rPr>
        <w:t>Social and Economic</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Central Asia</w:t>
        <w:br/>
      </w:r>
      <w:r>
        <w:rPr>
          <w:sz w:val="22"/>
        </w:rPr>
        <w:t>Time：</w:t>
      </w:r>
      <w:r>
        <w:rPr>
          <w:sz w:val="22"/>
        </w:rPr>
        <w:t>2012-2016</w:t>
      </w:r>
    </w:p>
    <w:p>
      <w:r>
        <w:rPr>
          <w:sz w:val="32"/>
        </w:rPr>
        <w:t>3、Data details</w:t>
      </w:r>
    </w:p>
    <w:p>
      <w:pPr>
        <w:ind w:left="432"/>
      </w:pPr>
      <w:r>
        <w:rPr>
          <w:sz w:val="22"/>
        </w:rPr>
        <w:t>1.Scale：500</w:t>
      </w:r>
    </w:p>
    <w:p>
      <w:pPr>
        <w:ind w:left="432"/>
      </w:pPr>
      <w:r>
        <w:rPr>
          <w:sz w:val="22"/>
        </w:rPr>
        <w:t>2.Projection：WGS84</w:t>
      </w:r>
    </w:p>
    <w:p>
      <w:pPr>
        <w:ind w:left="432"/>
      </w:pPr>
      <w:r>
        <w:rPr>
          <w:sz w:val="22"/>
        </w:rPr>
        <w:t>3.Filesize：19.1MB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2012-06-06 16:00:00+00:00</w:t>
      </w:r>
      <w:r>
        <w:rPr>
          <w:sz w:val="22"/>
        </w:rPr>
        <w:t>--</w:t>
      </w:r>
      <w:r>
        <w:rPr>
          <w:sz w:val="22"/>
        </w:rPr>
        <w:t>2016-04-06 03:59:59+00:00</w:t>
      </w:r>
    </w:p>
    <w:p>
      <w:r>
        <w:rPr>
          <w:sz w:val="32"/>
        </w:rPr>
        <w:t>6、Reference method</w:t>
      </w:r>
    </w:p>
    <w:p>
      <w:pPr>
        <w:ind w:left="432"/>
      </w:pPr>
      <w:r>
        <w:rPr>
          <w:sz w:val="22"/>
        </w:rPr>
        <w:t xml:space="preserve">References to data: </w:t>
      </w:r>
    </w:p>
    <w:p>
      <w:pPr>
        <w:ind w:left="432" w:firstLine="432"/>
      </w:pPr>
      <w:r>
        <w:t xml:space="preserve">GAO Xin. Disribution of desert oil-gas fields and oasis cities in Central Asia (2012-2016).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Xin</w:t>
        <w:br/>
      </w:r>
      <w:r>
        <w:rPr>
          <w:sz w:val="22"/>
        </w:rPr>
        <w:t xml:space="preserve">unit: </w:t>
      </w:r>
      <w:r>
        <w:rPr>
          <w:sz w:val="22"/>
        </w:rPr>
        <w:t>Xinjiang Institute of Ecology and Geography, CAS</w:t>
        <w:br/>
      </w:r>
      <w:r>
        <w:rPr>
          <w:sz w:val="22"/>
        </w:rPr>
        <w:t xml:space="preserve">email: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