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Yulei station on Qinghai lake, 2020)</w:t>
      </w:r>
    </w:p>
    <w:p>
      <w:r>
        <w:rPr>
          <w:sz w:val="32"/>
        </w:rPr>
        <w:t>1、Description</w:t>
      </w:r>
    </w:p>
    <w:p>
      <w:pPr>
        <w:ind w:firstLine="432"/>
      </w:pPr>
      <w:r>
        <w:rPr>
          <w:sz w:val="22"/>
        </w:rPr>
        <w:t>This dataset contains the flux measurements from the Qinghai Lake eddy covariance system (EC) belonging to the Qinghai Lake basin integrated observatory network from January 1 to December 31 in 2020. Due to the terrible climate in winter and spring, those instruments need maintenance in time. However, the Covid-19 blocked our maintenance, those data in January 1 to April 6 and November 1 to December 31 in 2020 were missing. The effective range of latent heat flux is -500~500 W/m2. The negative value may be caused by condensed water. The site (100° 29' 59.726'' E, 36° 35' 27.337'' N) was located on the Yulei Platform in Erlangjian scenic area, Qinghai Province. The elevation is 3209m. The EC was installed at a height of 16.1m,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north：36.59</w:t>
            </w:r>
          </w:p>
        </w:tc>
        <w:tc>
          <w:tcPr>
            <w:tcW w:type="dxa" w:w="2880"/>
          </w:tcPr>
          <w:p>
            <w:r>
              <w:t>-</w:t>
            </w:r>
          </w:p>
        </w:tc>
      </w:tr>
      <w:tr>
        <w:tc>
          <w:tcPr>
            <w:tcW w:type="dxa" w:w="2880"/>
          </w:tcPr>
          <w:p>
            <w:r>
              <w:t>west：100.5</w:t>
            </w:r>
          </w:p>
        </w:tc>
        <w:tc>
          <w:tcPr>
            <w:tcW w:type="dxa" w:w="2880"/>
          </w:tcPr>
          <w:p>
            <w:r>
              <w:t>-</w:t>
            </w:r>
          </w:p>
        </w:tc>
        <w:tc>
          <w:tcPr>
            <w:tcW w:type="dxa" w:w="2880"/>
          </w:tcPr>
          <w:p>
            <w:r>
              <w:t>east：100.5</w:t>
            </w:r>
          </w:p>
        </w:tc>
      </w:tr>
      <w:tr>
        <w:tc>
          <w:tcPr>
            <w:tcW w:type="dxa" w:w="2880"/>
          </w:tcPr>
          <w:p>
            <w:r>
              <w:t>-</w:t>
            </w:r>
          </w:p>
        </w:tc>
        <w:tc>
          <w:tcPr>
            <w:tcW w:type="dxa" w:w="2880"/>
          </w:tcPr>
          <w:p>
            <w:r>
              <w:t>south：36.59</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Yulei station on Qinghai lake, 2020). A Big Earth Data Platform for Three Poles, doi:10.11888/Atmos.tpdc.272153</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