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Long-term runoff observation with ten-days interval of Yingluoxia and Zhengyixia gorges in Heihe River Basin (1994-2010)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 mainly includes ten day runoff data of Yingluo gorge and Zhengyi gorge in Heihe River Basin, among which the time range of Yingluo gorge data is 1944-2010 and Zhengyi gorge data is 1947-2010. Source: Heihe River Basin Authority.            </w:t>
        <w:br/>
        <w:br/>
        <w:t xml:space="preserve">Data unit: 100 million cubic meters / 10 days. Data format: Excel            </w:t>
        <w:br/>
        <w:t>"Yingluo gorge 2" and "Yingluo gorge 2 (2)" in the data table are the ten day runoff data of Yingluo gorge, the same as "Yingluo gorge" in the data table, and Yingluo gorge 2 (2) contains the chart.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Discharge/Flow</w:t>
      </w:r>
      <w:r>
        <w:t>,</w:t>
      </w:r>
      <w:r>
        <w:rPr>
          <w:sz w:val="22"/>
        </w:rPr>
        <w:t>Runoff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Yingluoxia</w:t>
      </w:r>
      <w:r>
        <w:t xml:space="preserve">, </w:t>
      </w:r>
      <w:r>
        <w:rPr>
          <w:sz w:val="22"/>
        </w:rPr>
        <w:t>Zhengyixia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3.Filesize：0.15MB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1944-01-10 12:00:00+00:00</w:t>
      </w:r>
      <w:r>
        <w:rPr>
          <w:sz w:val="22"/>
        </w:rPr>
        <w:t>--</w:t>
      </w:r>
      <w:r>
        <w:rPr>
          <w:sz w:val="22"/>
        </w:rPr>
        <w:t>2011-01-08 12:00:00+00:00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Zhongjing. Long-term runoff observation with ten-days interval of Yingluoxia and Zhengyixia gorges in Heihe River Basin (1994-2010). A Big Earth Data Platform for Three Poles, 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