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Liancheng station, 2019)</w:t>
      </w:r>
    </w:p>
    <w:p>
      <w:r>
        <w:rPr>
          <w:sz w:val="32"/>
        </w:rPr>
        <w:t>1、Description</w:t>
      </w:r>
    </w:p>
    <w:p>
      <w:pPr>
        <w:ind w:firstLine="432"/>
      </w:pPr>
      <w:r>
        <w:rPr>
          <w:sz w:val="22"/>
        </w:rPr>
        <w:t>This dataset contains the flux measurements from the Liancheng station eddy covariance system (EC) in the middle reaches of the Heihe integrated observatory network from August 17 to November 1 in 2019. The site (102.737E, 36.692N) was located on a forest in the Tulugou national forest park, which is near Yongdeng city, Gansu Province. The elevation is 2912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Datong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2019-08-20 08:00:00+00:00</w:t>
      </w:r>
      <w:r>
        <w:rPr>
          <w:sz w:val="22"/>
        </w:rPr>
        <w:t>--</w:t>
      </w:r>
      <w:r>
        <w:rPr>
          <w:sz w:val="22"/>
        </w:rPr>
        <w:t>2019-11-04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Liancheng station, 2019). A Big Earth Data Platform for Three Poles, doi:10.11888/Meteoro.tpdc.270790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