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Gridded Monthly Temperature Lapse Rates of the Tibetan Plateau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1) Data content (including elements and meanings): Gridded multiyear-average monthly air temperature lapse rate data over the Tibetan Plateau at three kinds of resolutions (i.e. 0.25°, 0.75° and 2°) </w:t>
        <w:br/>
        <w:br/>
        <w:t>2) Data source and processing method: Locally reliable temperature lapse rates are created from filtered MODIS LST-elevation samples by using the thresholds of standard error of elevation and correlation coefficient</w:t>
        <w:br/>
        <w:br/>
        <w:t>3) Data quality description: For ERA-Interim, the validation accuracy (based on 1980-2014 daily mean aire temperature records from 113 stations across the Tibetan Plateau) decreases from ~4℃ to ~2℃ after using the 0.75° temperaturel lapse rate.</w:t>
        <w:br/>
        <w:br/>
        <w:t>4) Data application results and prospects: This dataset can be used for downscaling air temperature from multiple reanalysis datasets.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monthly average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west：67.875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east：105.375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Hongbo, ZHANG Fan. Gridded Monthly Temperature Lapse Rates of the Tibetan Plateau. A Big Earth Data Platform for Three Poles, doi:10.11888/Meteoro.tpdc.270211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H., Zhang, F., Zhang, G., Che, T., &amp; Yan, W. (2018). How accurately can the air temperature lapse rate over the Tibetan Plateau be estimated from MODIS LSTs?. Journal of Geophysical Research: Atmospheres, 123(8), 3943-3960.</w:t>
        <w:br/>
        <w:br/>
      </w:r>
      <w:r>
        <w:t>Zhang, H.B, Immerzeel, W.W., Zhang*, F., De Kok, R.J., Gorrie, S.J., &amp; Ye, M. (2021). Creating 1-km long-term (1980–2014) daily average air temperatures over the Tibetan Plateau by integrating eight types of reanalysis and land data assimilation products downscaled with MODIS-estimated temperature lapse rates based on machine learning. International Journal of Applied Earth Observations and Geoinformation (accepted).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and Research Program (Grant No. 2019QZKK0203)</w:t>
        <w:br/>
      </w:r>
      <w:r>
        <w:rPr>
          <w:sz w:val="22"/>
        </w:rPr>
        <w:t>National Natural Science Foundation of China (Grant No. 41701079)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Fan</w:t>
        <w:br/>
      </w:r>
      <w:r>
        <w:rPr>
          <w:sz w:val="22"/>
        </w:rPr>
        <w:t xml:space="preserve">unit: </w:t>
      </w:r>
      <w:r>
        <w:rPr>
          <w:sz w:val="22"/>
        </w:rPr>
        <w:t>Institute of</w:t>
        <w:br/>
      </w:r>
      <w:r>
        <w:rPr>
          <w:sz w:val="22"/>
        </w:rPr>
        <w:t xml:space="preserve">email: </w:t>
      </w:r>
      <w:r>
        <w:rPr>
          <w:sz w:val="22"/>
        </w:rPr>
        <w:t>zhangfan@itpcas.ac.cn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Hongbo</w:t>
        <w:br/>
      </w:r>
      <w:r>
        <w:rPr>
          <w:sz w:val="22"/>
        </w:rPr>
        <w:t xml:space="preserve">unit: </w:t>
      </w:r>
      <w:r>
        <w:rPr>
          <w:sz w:val="22"/>
        </w:rPr>
        <w:t>China Agricultural University</w:t>
        <w:br/>
      </w:r>
      <w:r>
        <w:rPr>
          <w:sz w:val="22"/>
        </w:rPr>
        <w:t xml:space="preserve">email: </w:t>
      </w:r>
      <w:r>
        <w:rPr>
          <w:sz w:val="22"/>
        </w:rPr>
        <w:t>zhanghongbo@cau.edu.cn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