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 use change in the midstream of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According to the statistical yearbook, different types of land use change areas in the middle reaches of China since liberation were collected and sorted out.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</w:r>
      <w:r>
        <w:t>,</w:t>
      </w:r>
      <w:r>
        <w:rPr>
          <w:sz w:val="22"/>
        </w:rPr>
        <w:t>Land use type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Zhangye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1984-01-10 08:00:00+00:00</w:t>
      </w:r>
      <w:r>
        <w:rPr>
          <w:sz w:val="22"/>
        </w:rPr>
        <w:t>--</w:t>
      </w:r>
      <w:r>
        <w:rPr>
          <w:sz w:val="22"/>
        </w:rPr>
        <w:t>2010-01-10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ZHANG  Zhiqiang. Land use change in the midstream of Heihe River Basin.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Zhiqiang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