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Landcover dataset of the Shulehe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Shule River Basin land cover dataset, which is derived from "China's 1: 100,000 Land Use Data Set" in 2000. It is based on Landsat MSS, TM and ETM remote sensing data within three years by satellite remote sensing.  This data adopts a hierarchical land cover classification system, which divides the country into 6 first-class categories (cultivated land, forest land, grassland, water area, urban and rural areas, industrial and mining areas, residential land and unused land) and 31 second-class categories.  The attribute fields include: Area, Perimeter, Code(Land code), Name (land type).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cover</w:t>
      </w:r>
      <w:r>
        <w:t>,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Shule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3.Filesize：59.5MB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WU Shixin, LIU Jiyuan, ZHOU Wancun, ZHUANG  Dafang, WANG Jianhua. Landcover dataset of the Shulehe River Basin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Jiyuan</w:t>
        <w:br/>
      </w:r>
      <w:r>
        <w:rPr>
          <w:sz w:val="22"/>
        </w:rPr>
        <w:t xml:space="preserve">unit: </w:t>
      </w:r>
      <w:r>
        <w:rPr>
          <w:sz w:val="22"/>
        </w:rPr>
        <w:t>Instiute of Geographic Sciences and Natural Resources Research, CAS</w:t>
        <w:br/>
      </w:r>
      <w:r>
        <w:rPr>
          <w:sz w:val="22"/>
        </w:rPr>
        <w:t xml:space="preserve">email: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ZHOU Wancun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WU Shixin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ZHUANG  Dafang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zhuangdf@lreis.ac.cn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