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Jingyangling station, 2021)</w:t>
      </w:r>
    </w:p>
    <w:p>
      <w:r>
        <w:rPr>
          <w:sz w:val="32"/>
        </w:rPr>
        <w:t>1、Description</w:t>
      </w:r>
    </w:p>
    <w:p>
      <w:pPr>
        <w:ind w:firstLine="432"/>
      </w:pPr>
      <w:r>
        <w:rPr>
          <w:sz w:val="22"/>
        </w:rPr>
        <w:t>This dataset contains the flux measurements from the Jingyangling station eddy covariance system (EC) in the upstream reaches of the Heihe integrated observatory network from January 1 to December 31 in 2021. The site (101.1160E, 37.8384N) was located in the Jingyangling, near Qilian County in Qinghai Province. The elevation is 3750 m. The EC was installed at a height of 4.5 m, and the sampling rate was 10 Hz. The sonic anemometer faced north, and the separation distance between the sonic anemometer and the CO2/H2O gas analyzer (CSAT3B &amp; Li7500DS)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insufficient power supply, data were missing occasionally.</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Surface Freeze-thaw Cycle/State</w:t>
      </w:r>
      <w:r>
        <w:t>,</w:t>
      </w:r>
      <w:r>
        <w:rPr>
          <w:sz w:val="22"/>
        </w:rPr>
        <w:t>Visibility</w:t>
      </w:r>
      <w:r>
        <w:t>,</w:t>
      </w:r>
      <w:r>
        <w:rPr>
          <w:sz w:val="22"/>
        </w:rPr>
        <w:t>Hydrology</w:t>
        <w:br/>
      </w:r>
      <w:r>
        <w:rPr>
          <w:sz w:val="22"/>
        </w:rPr>
        <w:t>Discipline：</w:t>
      </w:r>
      <w:r>
        <w:rPr>
          <w:sz w:val="22"/>
        </w:rPr>
        <w:t>Atmosphere</w:t>
      </w:r>
      <w:r>
        <w:t>,</w:t>
      </w:r>
      <w:r>
        <w:rPr>
          <w:sz w:val="22"/>
        </w:rPr>
        <w:t>Terrestrial Surface</w:t>
      </w:r>
      <w:r>
        <w:t>,</w:t>
      </w:r>
      <w:r>
        <w:rPr>
          <w:sz w:val="22"/>
        </w:rPr>
        <w:t>Cryosphere</w:t>
        <w:br/>
      </w:r>
      <w:r>
        <w:rPr>
          <w:sz w:val="22"/>
        </w:rPr>
        <w:t>Places：</w:t>
      </w:r>
      <w:r>
        <w:rPr>
          <w:sz w:val="22"/>
        </w:rPr>
        <w:t>the cold region hydrology experimental area</w:t>
      </w:r>
      <w:r>
        <w:t xml:space="preserve">, </w:t>
      </w:r>
      <w:r>
        <w:rPr>
          <w:sz w:val="22"/>
        </w:rPr>
        <w:t>Heihe River Basin</w:t>
      </w:r>
      <w:r>
        <w:t xml:space="preserve">, </w:t>
      </w:r>
      <w:r>
        <w:rPr>
          <w:sz w:val="22"/>
        </w:rPr>
        <w:t>Jingyangling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3.Filesize：2.32MB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(eddy covariance system of Jingyangling station, 2021). A Big Earth Data Platform for Three Poles, doi:10.11888/Atmos.tpdc.272472</w:t>
      </w:r>
      <w:r>
        <w:rPr>
          <w:sz w:val="22"/>
        </w:rPr>
        <w:t>2022</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