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Typhoon path dataset (2018)</w:t>
      </w:r>
    </w:p>
    <w:p>
      <w:r>
        <w:rPr>
          <w:sz w:val="32"/>
        </w:rPr>
        <w:t>1、Description</w:t>
      </w:r>
    </w:p>
    <w:p>
      <w:pPr>
        <w:ind w:firstLine="432"/>
      </w:pPr>
      <w:r>
        <w:rPr>
          <w:sz w:val="22"/>
        </w:rPr>
        <w:t>The global typhoon path data set contains the data of 29 typhoon path points in the Northwest Pacific in 2018, including time, longitude and latitude, central air pressure, wind speed and wind force, future direction, future speed, wind force level and other indicators; the data comes from the typhoon network of the Central Meteorological Station (http://typhone.nmc.cn/web.html), using Python to grab the typhoon path data published on the web page, In addition, the captured Excel data table is sorted into ShapeFile form, and each path point is given wind power level according to the wind power rating standard of typhoon;</w:t>
        <w:br/>
        <w:t>It can be applied to the analysis of the characteristics and influence of the movement of typhoon path points, wind speed and wind force.</w:t>
      </w:r>
    </w:p>
    <w:p>
      <w:r>
        <w:rPr>
          <w:sz w:val="32"/>
        </w:rPr>
        <w:t>2、Keywords</w:t>
      </w:r>
    </w:p>
    <w:p>
      <w:pPr>
        <w:ind w:left="432"/>
      </w:pPr>
      <w:r>
        <w:rPr>
          <w:sz w:val="22"/>
        </w:rPr>
        <w:t>Theme：</w:t>
      </w:r>
      <w:r>
        <w:rPr>
          <w:sz w:val="22"/>
        </w:rPr>
        <w:t>Typhoon</w:t>
      </w:r>
      <w:r>
        <w:t>,</w:t>
      </w:r>
      <w:r>
        <w:rPr>
          <w:sz w:val="22"/>
        </w:rPr>
        <w:t>Meteorological hazards</w:t>
      </w:r>
      <w:r>
        <w:t>,</w:t>
      </w:r>
      <w:r>
        <w:rPr>
          <w:sz w:val="22"/>
        </w:rPr>
        <w:t>Path</w:t>
      </w:r>
      <w:r>
        <w:t>,</w:t>
      </w:r>
      <w:r>
        <w:rPr>
          <w:sz w:val="22"/>
        </w:rPr>
        <w:t>Natural Disaster</w:t>
        <w:br/>
      </w:r>
      <w:r>
        <w:rPr>
          <w:sz w:val="22"/>
        </w:rPr>
        <w:t>Discipline：</w:t>
      </w:r>
      <w:r>
        <w:rPr>
          <w:sz w:val="22"/>
        </w:rPr>
        <w:t>Human-nature Relationship</w:t>
        <w:br/>
      </w:r>
      <w:r>
        <w:rPr>
          <w:sz w:val="22"/>
        </w:rPr>
        <w:t>Places：</w:t>
      </w:r>
      <w:r>
        <w:rPr>
          <w:sz w:val="22"/>
        </w:rPr>
        <w:t>Northwest Pacific Ocean</w:t>
        <w:br/>
      </w:r>
      <w:r>
        <w:rPr>
          <w:sz w:val="22"/>
        </w:rPr>
        <w:t>Time：</w:t>
      </w:r>
      <w:r>
        <w:rPr>
          <w:sz w:val="22"/>
        </w:rPr>
        <w:t>In 2018</w:t>
      </w:r>
    </w:p>
    <w:p>
      <w:r>
        <w:rPr>
          <w:sz w:val="32"/>
        </w:rPr>
        <w:t>3、Data details</w:t>
      </w:r>
    </w:p>
    <w:p>
      <w:pPr>
        <w:ind w:left="432"/>
      </w:pPr>
      <w:r>
        <w:rPr>
          <w:sz w:val="22"/>
        </w:rPr>
        <w:t>1.Scale：None</w:t>
      </w:r>
    </w:p>
    <w:p>
      <w:pPr>
        <w:ind w:left="432"/>
      </w:pPr>
      <w:r>
        <w:rPr>
          <w:sz w:val="22"/>
        </w:rPr>
        <w:t>2.Projection：WGS84</w:t>
      </w:r>
    </w:p>
    <w:p>
      <w:pPr>
        <w:ind w:left="432"/>
      </w:pPr>
      <w:r>
        <w:rPr>
          <w:sz w:val="22"/>
        </w:rPr>
        <w:t>3.Filesize：0.24MB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north：44.9</w:t>
            </w:r>
          </w:p>
        </w:tc>
        <w:tc>
          <w:tcPr>
            <w:tcW w:type="dxa" w:w="2880"/>
          </w:tcPr>
          <w:p>
            <w:r>
              <w:t>-</w:t>
            </w:r>
          </w:p>
        </w:tc>
      </w:tr>
      <w:tr>
        <w:tc>
          <w:tcPr>
            <w:tcW w:type="dxa" w:w="2880"/>
          </w:tcPr>
          <w:p>
            <w:r>
              <w:t>west：103.6</w:t>
            </w:r>
          </w:p>
        </w:tc>
        <w:tc>
          <w:tcPr>
            <w:tcW w:type="dxa" w:w="2880"/>
          </w:tcPr>
          <w:p>
            <w:r>
              <w:t>-</w:t>
            </w:r>
          </w:p>
        </w:tc>
        <w:tc>
          <w:tcPr>
            <w:tcW w:type="dxa" w:w="2880"/>
          </w:tcPr>
          <w:p>
            <w:r>
              <w:t>east：179.3</w:t>
            </w:r>
          </w:p>
        </w:tc>
      </w:tr>
      <w:tr>
        <w:tc>
          <w:tcPr>
            <w:tcW w:type="dxa" w:w="2880"/>
          </w:tcPr>
          <w:p>
            <w:r>
              <w:t>-</w:t>
            </w:r>
          </w:p>
        </w:tc>
        <w:tc>
          <w:tcPr>
            <w:tcW w:type="dxa" w:w="2880"/>
          </w:tcPr>
          <w:p>
            <w:r>
              <w:t>south：4.6</w:t>
            </w:r>
          </w:p>
        </w:tc>
        <w:tc>
          <w:tcPr>
            <w:tcW w:type="dxa" w:w="2880"/>
          </w:tcPr>
          <w:p>
            <w:r>
              <w:t>-</w:t>
            </w:r>
          </w:p>
        </w:tc>
      </w:tr>
    </w:tbl>
    <w:p>
      <w:r>
        <w:rPr>
          <w:sz w:val="32"/>
        </w:rPr>
        <w:t>5、Time frame:</w:t>
      </w:r>
      <w:r>
        <w:rPr>
          <w:sz w:val="22"/>
        </w:rPr>
        <w:t>2018-01-18 16:00:00+00:00</w:t>
      </w:r>
      <w:r>
        <w:rPr>
          <w:sz w:val="22"/>
        </w:rPr>
        <w:t>--</w:t>
      </w:r>
      <w:r>
        <w:rPr>
          <w:sz w:val="22"/>
        </w:rPr>
        <w:t>2019-01-10 16:00:00+00:00</w:t>
      </w:r>
    </w:p>
    <w:p>
      <w:r>
        <w:rPr>
          <w:sz w:val="32"/>
        </w:rPr>
        <w:t>6、Reference method</w:t>
      </w:r>
    </w:p>
    <w:p>
      <w:pPr>
        <w:ind w:left="432"/>
      </w:pPr>
      <w:r>
        <w:rPr>
          <w:sz w:val="22"/>
        </w:rPr>
        <w:t xml:space="preserve">References to data: </w:t>
      </w:r>
    </w:p>
    <w:p>
      <w:pPr>
        <w:ind w:left="432" w:firstLine="432"/>
      </w:pPr>
      <w:r>
        <w:t>YANG Hua, WU   Jianjun, CHEN Yiting, ZHOU Hongmin. Global Typhoon path dataset (2018). A Big Earth Data Platform for Three Poles, doi:10.11888/Disas.tpdc.270205</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CHEN Yiting</w:t>
        <w:br/>
      </w:r>
      <w:r>
        <w:rPr>
          <w:sz w:val="22"/>
        </w:rPr>
        <w:t xml:space="preserve">unit: </w:t>
      </w:r>
      <w:r>
        <w:rPr>
          <w:sz w:val="22"/>
        </w:rPr>
        <w:t>Beijing Normal University</w:t>
        <w:br/>
      </w:r>
      <w:r>
        <w:rPr>
          <w:sz w:val="22"/>
        </w:rPr>
        <w:t xml:space="preserve">email: </w:t>
      </w:r>
      <w:r>
        <w:rPr>
          <w:sz w:val="22"/>
        </w:rPr>
        <w:t>201821051091@mail.bnu.edu.cn</w:t>
        <w:br/>
        <w:br/>
      </w:r>
      <w:r>
        <w:rPr>
          <w:sz w:val="22"/>
        </w:rPr>
        <w:t xml:space="preserve">name: </w:t>
      </w:r>
      <w:r>
        <w:rPr>
          <w:sz w:val="22"/>
        </w:rPr>
        <w:t>YANG Hua</w:t>
        <w:br/>
      </w:r>
      <w:r>
        <w:rPr>
          <w:sz w:val="22"/>
        </w:rPr>
        <w:t xml:space="preserve">unit: </w:t>
      </w:r>
      <w:r>
        <w:rPr>
          <w:sz w:val="22"/>
        </w:rPr>
        <w:t>Beijing Normal University</w:t>
        <w:br/>
      </w:r>
      <w:r>
        <w:rPr>
          <w:sz w:val="22"/>
        </w:rPr>
        <w:t xml:space="preserve">email: </w:t>
      </w:r>
      <w:r>
        <w:rPr>
          <w:sz w:val="22"/>
        </w:rPr>
        <w:t>yh_crs@bnu.edu.cn</w:t>
        <w:br/>
        <w:br/>
      </w:r>
      <w:r>
        <w:rPr>
          <w:sz w:val="22"/>
        </w:rPr>
        <w:t xml:space="preserve">name: </w:t>
      </w:r>
      <w:r>
        <w:rPr>
          <w:sz w:val="22"/>
        </w:rPr>
        <w:t>WU   Jianjun</w:t>
        <w:br/>
      </w:r>
      <w:r>
        <w:rPr>
          <w:sz w:val="22"/>
        </w:rPr>
        <w:t xml:space="preserve">unit: </w:t>
      </w:r>
      <w:r>
        <w:rPr>
          <w:sz w:val="22"/>
        </w:rPr>
        <w:br/>
      </w:r>
      <w:r>
        <w:rPr>
          <w:sz w:val="22"/>
        </w:rPr>
        <w:t xml:space="preserve">email: </w:t>
      </w:r>
      <w:r>
        <w:rPr>
          <w:sz w:val="22"/>
        </w:rPr>
        <w:t>yaopp@radi.ac.cn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