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The multi-scale observation experiment on evapotranspiration over heterogeneous land surfaces 2012 (MUSOEXE-12)-dataset of flux observation matrix（automatic meteorological station of No.9)</w:t>
      </w:r>
    </w:p>
    <w:p>
      <w:r>
        <w:rPr>
          <w:sz w:val="32"/>
        </w:rPr>
        <w:t>1、Description</w:t>
      </w:r>
    </w:p>
    <w:p>
      <w:pPr>
        <w:ind w:firstLine="432"/>
      </w:pPr>
      <w:r>
        <w:rPr>
          <w:sz w:val="22"/>
        </w:rPr>
        <w:t xml:space="preserve">This dataset contains the automatic weather station (AWS) measurements from site No.9 in the flux observation matrix from 4 June to 17 September, 2012. The site (100.38546° E, 38.87239° N) was located in a cropland (maize surface) in Yingke irrigation district, which is near Zhangye, Gansu Province. The elevation is 1543.34 m. The installation heights and orientations of different sensors and measured quantities were as follows: air temperature and humidity (HMP45AC; 5 m, towards north), rain gauge (TE525M; 10 m), wind speed (010C; 10 m, towards north), a four-component radiometer (CNR1; 6 m, towards south), two infrared temperature sensors (SI-111; 6 m, vertically downward), soil temperature profile (AV-10T; 0, -0.02, -0.04 m), soil moisture profile (CS616; -0.02, -0.04 m), and soil heat flux (HFP01; 3 duplicates with one below the vegetation and the other between plants, 0.06 m). </w:t>
        <w:br/>
        <w:t>The observations included the following: air temperature and humidity (Ta_5 m and RH_5 m) (℃ and %, respectively), precipitation (rain, mm), wind speed (Ws_10 m, m/s), four-component radiation (DR, incoming shortwave radiation; UR, outgoing shortwave radiation; DLR_Cor, incoming longwave radiation; ULR_Cor, outgoing longwave radiation; Rn, net radiation; W/m2), infrared temperature (IRT_1 and IR_2, ℃), soil heat flux (Gs_1, below the vegetation; Gs_2 and Gs_3, W/m^2), soil temperature profile (Ts_0 cm, Ts_2 cm, and Ts_4 cm, ℃), and soil moisture profile (Ms_2 cm and Ms_4 cm, %).</w:t>
        <w:br/>
        <w:t>The data processing and quality control steps were as follows. (1) The AWS data were averaged over intervals of 10 min; therefore, there were 144 records per day. The missing data were filled with -6999. (2) Data in duplicate records were rejected. (3) Unphysical data were rejected. (4) In this dataset, the time of 0:10 corresponds to the average data for the period between 0:00 and 0:10; the data were stored in *.xlsx format. (5) Finally, the naming convention was AWS+ site no. Moreover, suspicious data were marked in red.</w:t>
        <w:br/>
        <w:t>For more information, please refer to Liu et al. (2016) (for multi-scale observation experiment or sites information), Xu et al. (2013) (for data processing) in the Citation section.</w:t>
      </w:r>
    </w:p>
    <w:p>
      <w:r>
        <w:rPr>
          <w:sz w:val="32"/>
        </w:rPr>
        <w:t>2、Keywords</w:t>
      </w:r>
    </w:p>
    <w:p>
      <w:pPr>
        <w:ind w:left="432"/>
      </w:pPr>
      <w:r>
        <w:rPr>
          <w:sz w:val="22"/>
        </w:rPr>
        <w:t>Theme：</w:t>
      </w:r>
      <w:r>
        <w:rPr>
          <w:sz w:val="22"/>
        </w:rPr>
        <w:t>Precipitation</w:t>
      </w:r>
      <w:r>
        <w:t>,</w:t>
      </w:r>
      <w:r>
        <w:rPr>
          <w:sz w:val="22"/>
        </w:rPr>
        <w:t>Temperature</w:t>
      </w:r>
      <w:r>
        <w:t>,</w:t>
      </w:r>
      <w:r>
        <w:rPr>
          <w:sz w:val="22"/>
        </w:rPr>
        <w:t>Precipitation amount</w:t>
      </w:r>
      <w:r>
        <w:t>,</w:t>
      </w:r>
      <w:r>
        <w:rPr>
          <w:sz w:val="22"/>
        </w:rPr>
        <w:t>Humidity/Dryness</w:t>
      </w:r>
      <w:r>
        <w:t>,</w:t>
      </w:r>
      <w:r>
        <w:rPr>
          <w:sz w:val="22"/>
        </w:rPr>
        <w:t>Air temperature</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br/>
      </w:r>
      <w:r>
        <w:rPr>
          <w:sz w:val="22"/>
        </w:rPr>
        <w:t>Time：</w:t>
      </w:r>
      <w:r>
        <w:rPr>
          <w:sz w:val="22"/>
        </w:rPr>
        <w:t>2012</w:t>
      </w:r>
      <w:r>
        <w:t xml:space="preserve">, </w:t>
      </w:r>
      <w:r>
        <w:rPr>
          <w:sz w:val="22"/>
        </w:rPr>
        <w:t>2012-06-04 to 2012-09-17</w:t>
      </w:r>
    </w:p>
    <w:p>
      <w:r>
        <w:rPr>
          <w:sz w:val="32"/>
        </w:rPr>
        <w:t>3、Data details</w:t>
      </w:r>
    </w:p>
    <w:p>
      <w:pPr>
        <w:ind w:left="432"/>
      </w:pPr>
      <w:r>
        <w:rPr>
          <w:sz w:val="22"/>
        </w:rPr>
        <w:t>1.Scale：None</w:t>
      </w:r>
    </w:p>
    <w:p>
      <w:pPr>
        <w:ind w:left="432"/>
      </w:pPr>
      <w:r>
        <w:rPr>
          <w:sz w:val="22"/>
        </w:rPr>
        <w:t>2.Projection：4326</w:t>
      </w:r>
    </w:p>
    <w:p>
      <w:pPr>
        <w:ind w:left="432"/>
      </w:pPr>
      <w:r>
        <w:rPr>
          <w:sz w:val="22"/>
        </w:rPr>
        <w:t>3.Filesize：3.15MB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north：38.87239</w:t>
            </w:r>
          </w:p>
        </w:tc>
        <w:tc>
          <w:tcPr>
            <w:tcW w:type="dxa" w:w="2880"/>
          </w:tcPr>
          <w:p>
            <w:r>
              <w:t>-</w:t>
            </w:r>
          </w:p>
        </w:tc>
      </w:tr>
      <w:tr>
        <w:tc>
          <w:tcPr>
            <w:tcW w:type="dxa" w:w="2880"/>
          </w:tcPr>
          <w:p>
            <w:r>
              <w:t>west：100.38546</w:t>
            </w:r>
          </w:p>
        </w:tc>
        <w:tc>
          <w:tcPr>
            <w:tcW w:type="dxa" w:w="2880"/>
          </w:tcPr>
          <w:p>
            <w:r>
              <w:t>-</w:t>
            </w:r>
          </w:p>
        </w:tc>
        <w:tc>
          <w:tcPr>
            <w:tcW w:type="dxa" w:w="2880"/>
          </w:tcPr>
          <w:p>
            <w:r>
              <w:t>east：100.38546</w:t>
            </w:r>
          </w:p>
        </w:tc>
      </w:tr>
      <w:tr>
        <w:tc>
          <w:tcPr>
            <w:tcW w:type="dxa" w:w="2880"/>
          </w:tcPr>
          <w:p>
            <w:r>
              <w:t>-</w:t>
            </w:r>
          </w:p>
        </w:tc>
        <w:tc>
          <w:tcPr>
            <w:tcW w:type="dxa" w:w="2880"/>
          </w:tcPr>
          <w:p>
            <w:r>
              <w:t>south：38.87239</w:t>
            </w:r>
          </w:p>
        </w:tc>
        <w:tc>
          <w:tcPr>
            <w:tcW w:type="dxa" w:w="2880"/>
          </w:tcPr>
          <w:p>
            <w:r>
              <w:t>-</w:t>
            </w:r>
          </w:p>
        </w:tc>
      </w:tr>
    </w:tbl>
    <w:p>
      <w:r>
        <w:rPr>
          <w:sz w:val="32"/>
        </w:rPr>
        <w:t>5、Time frame:</w:t>
      </w:r>
      <w:r>
        <w:rPr>
          <w:sz w:val="22"/>
        </w:rPr>
        <w:t>2012-06-12 01:38:00+00:00</w:t>
      </w:r>
      <w:r>
        <w:rPr>
          <w:sz w:val="22"/>
        </w:rPr>
        <w:t>--</w:t>
      </w:r>
      <w:r>
        <w:rPr>
          <w:sz w:val="22"/>
        </w:rPr>
        <w:t>2012-09-25 01:38:00+00:00</w:t>
      </w:r>
    </w:p>
    <w:p>
      <w:r>
        <w:rPr>
          <w:sz w:val="32"/>
        </w:rPr>
        <w:t>6、Reference method</w:t>
      </w:r>
    </w:p>
    <w:p>
      <w:pPr>
        <w:ind w:left="432"/>
      </w:pPr>
      <w:r>
        <w:rPr>
          <w:sz w:val="22"/>
        </w:rPr>
        <w:t xml:space="preserve">References to data: </w:t>
      </w:r>
    </w:p>
    <w:p>
      <w:pPr>
        <w:ind w:left="432" w:firstLine="432"/>
      </w:pPr>
      <w:r>
        <w:t>LI Xin, LIU Shaomin, XU Ziwei. HiWATER: The multi-scale observation experiment on evapotranspiration over heterogeneous land surfaces 2012 (MUSOEXE-12)-dataset of flux observation matrix（automatic meteorological station of No.9). A Big Earth Data Platform for Three Poles, doi:10.3972/hiwater.067.2013.db</w:t>
      </w:r>
      <w:r>
        <w:rPr>
          <w:sz w:val="22"/>
        </w:rPr>
        <w:t>2016</w:t>
      </w:r>
    </w:p>
    <w:p>
      <w:pPr>
        <w:ind w:left="432"/>
      </w:pPr>
      <w:r>
        <w:rPr>
          <w:sz w:val="22"/>
        </w:rPr>
        <w:t xml:space="preserve">References to articles: </w:t>
      </w:r>
    </w:p>
    <w:p>
      <w:pPr>
        <w:ind w:left="864"/>
      </w:pPr>
      <w:r>
        <w:t>Liu, S.M., Xu, Z.W., Song, L.S., Zhao, Q.Y., Ge, Y., Xu, T.R., Ma, Y.F., Zhu, Z.L., Jia, Z.Z., Zhang, F. (2016). Upscaling evapotranspiration measurements from multi-site to the satellite pixel scale over heterogeneous land surfaces. Agricultural and Forest Meteorology, 230-231, 97-113. doi:10.1016/j.agrformet.2016.04.008.</w:t>
        <w:br/>
        <w:br/>
      </w:r>
      <w:r>
        <w:t>Xu, Z.W., Liu, S.M., Li, X., Shi, S.J., Wang, J.M., Zhu, Z.L., Xu, T.R., Wang, W.Z., &amp; Ma, M.G. (2013). Intercomparison of surface energy flux measurement systems used during the HiWATER-MUSOEXE. Journal of Geophysical Research, 118, 13140-13157, doi:10.1002/2013JD020260.</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