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格陵兰500m分辨率DEM（2019年5月）</w:t>
      </w:r>
    </w:p>
    <w:p>
      <w:r>
        <w:rPr>
          <w:sz w:val="22"/>
        </w:rPr>
        <w:t>英文标题：A new Greenland digital elevation model derived from ICESat-2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格陵兰数字高程模型 (DEM) 对于实地工作、冰速计算和质量变化估计是必不可少的。以前的 DEM 已经为整个格陵兰岛提供了合理的估计，但应用源数据的时间跨度可能会导致质量变化估计偏差。为了给 DEM 提供一个特定的时间戳，我们从 2018 年 11 月到 2019 年 11 月应用了大约 5.8×108 ICESat-2 观测来生成一个新的 DEM，包括格陵兰周边的冰盖和冰川。时空模型拟合过程分别在 500 m、1,2 和 5 km 网格单元上执行，最终 DEM 以 500 m 分辨率发布。通过模型拟合获得总共98%网格的高程，剩余的DEM空洞通过普通克里金插值法估计。与机载地形测绘仪 (ATM) 激光雷达系统获取的 IceBridge 任务数据相比，ICESat-2 DEM 的最大中值差异估计为 -0.48 m。通过模型拟合和插值获得的网格的性能相似，都与 IceBridge 数据非常吻合。 DEM 的不确定性在低纬度和高坡度或粗糙度区域增加。此外，与其他高度计衍生的 DEM 相比，ICESat-2 DEM 显示出显着的精度提高，并且精度与立体摄影测量和干涉测量的精度相当。总体而言，ICESat-2 DEM 在各种地形条件下均表现出精度稳定性，可以提供具有高精度的特定时间戳 DEM，这将有助于研究格陵兰岛海拔和质量平衡变化。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银河系</w:t>
        <w:br/>
      </w:r>
      <w:r>
        <w:rPr>
          <w:sz w:val="22"/>
        </w:rPr>
        <w:t>学科关键词：</w:t>
      </w:r>
      <w:r>
        <w:rPr>
          <w:sz w:val="22"/>
        </w:rPr>
        <w:t>日地空间物理与天文</w:t>
        <w:br/>
      </w:r>
      <w:r>
        <w:rPr>
          <w:sz w:val="22"/>
        </w:rPr>
        <w:t>地点关键词：</w:t>
      </w:r>
      <w:r>
        <w:rPr>
          <w:sz w:val="22"/>
        </w:rPr>
        <w:t>格陵兰岛</w:t>
        <w:br/>
      </w:r>
      <w:r>
        <w:rPr>
          <w:sz w:val="22"/>
        </w:rPr>
        <w:t>时间关键词：</w:t>
      </w:r>
      <w:r>
        <w:rPr>
          <w:sz w:val="22"/>
        </w:rPr>
        <w:t>2019年5月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2.投影：North_Pole_Stereographic</w:t>
      </w:r>
    </w:p>
    <w:p>
      <w:pPr>
        <w:ind w:left="432"/>
      </w:pPr>
      <w:r>
        <w:rPr>
          <w:sz w:val="22"/>
        </w:rPr>
        <w:t>3.文件大小：189.0MB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东：-10.0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南：59.0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2019-04-30 16:00:00+00:00</w:t>
      </w:r>
      <w:r>
        <w:rPr>
          <w:sz w:val="22"/>
        </w:rPr>
        <w:t>--</w:t>
      </w:r>
      <w:r>
        <w:rPr>
          <w:sz w:val="22"/>
        </w:rPr>
        <w:t>2019-05-30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范宇宾, 柯长青, 沈校熠. 格陵兰500m分辨率DEM（2019年5月）. 时空三极环境大数据平台, DOI:10.11888/Geogra.tpdc.271336, CSTR:18406.11.Geogra.tpdc.271336, </w:t>
      </w:r>
      <w:r>
        <w:t>2021</w:t>
      </w:r>
      <w:r>
        <w:t>.[</w:t>
      </w:r>
      <w:r>
        <w:t xml:space="preserve">SHEN   Xiaoyi, KE Changqing, FAN   Yubin. A new Greenland digital elevation model derived from ICESat-2. A Big Earth Data Platform for Three Poles, DOI:10.11888/Geogra.tpdc.271336, CSTR:18406.11.Geogra.tpdc.271336,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范宇宾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953698671@qq.com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柯长青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kecq@nju.edu.cn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沈校熠</w:t>
        <w:br/>
      </w:r>
      <w:r>
        <w:rPr>
          <w:sz w:val="22"/>
        </w:rPr>
        <w:t xml:space="preserve">单位: </w:t>
      </w:r>
      <w:r>
        <w:rPr>
          <w:sz w:val="22"/>
        </w:rPr>
        <w:t>南京大学</w:t>
        <w:br/>
      </w:r>
      <w:r>
        <w:rPr>
          <w:sz w:val="22"/>
        </w:rPr>
        <w:t xml:space="preserve">电子邮件: </w:t>
      </w:r>
      <w:r>
        <w:rPr>
          <w:sz w:val="22"/>
        </w:rPr>
        <w:t>823273803@qq.com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