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贫困与可持续生计微观专题调研数据集-收入（2018）</w:t>
      </w:r>
    </w:p>
    <w:p>
      <w:r>
        <w:rPr>
          <w:sz w:val="22"/>
        </w:rPr>
        <w:t>英文标题：Dataset of sustainable livelihood: Income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总收入及各类收入情况，用来支撑分析可持续生计中的生计输出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生计结果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收入结构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家庭收入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发展水平</w:t>
      </w:r>
      <w:r>
        <w:t>,</w:t>
      </w:r>
      <w:r>
        <w:rPr>
          <w:sz w:val="22"/>
        </w:rPr>
        <w:t>农村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贫困与可持续生计微观专题调研数据集-收入（2018）. 时空三极环境大数据平台, DOI:10.11888/Socioeco.tpdc.271144, CSTR:18406.11.Socioeco.tpdc.271144, </w:t>
      </w:r>
      <w:r>
        <w:t>2021</w:t>
      </w:r>
      <w:r>
        <w:t>.[</w:t>
      </w:r>
      <w:r>
        <w:t xml:space="preserve">Linxiu  ZHANG, BAI Yunli. Dataset of sustainable livelihood: Income (2018). A Big Earth Data Platform for Three Poles, DOI:10.11888/Socioeco.tpdc.271144, CSTR:18406.11.Socioeco.tpdc.271144,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