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喜马拉雅山周边及亚洲水塔区道路交通综合风险（2021）</w:t>
      </w:r>
    </w:p>
    <w:p>
      <w:r>
        <w:rPr>
          <w:sz w:val="22"/>
        </w:rPr>
        <w:t>英文标题：Comprehensive risk of road traffic in Himalayan and Asian water tower area (2021)</w:t>
      </w:r>
    </w:p>
    <w:p>
      <w:r>
        <w:rPr>
          <w:sz w:val="32"/>
        </w:rPr>
        <w:t>1、摘要</w:t>
      </w:r>
    </w:p>
    <w:p>
      <w:pPr>
        <w:ind w:firstLine="432"/>
      </w:pPr>
      <w:r>
        <w:rPr>
          <w:sz w:val="22"/>
        </w:rPr>
        <w:t>基于青藏科考实地收集的各灾种的损毁率进行单灾种相对风险等级的划分。采用综合自然灾害风险等级评估方法，在单灾种灾害风险评价结果的基础上，根据各灾种发生频次所得到的权重进行综合评价。喜马拉雅周边地区道路交通综合风险数据包括喜马拉雅周边地区道路矢量数据，以及各个路段的综合风险等级，共分为低风险（1）、中低风险（2）、中风险（3）、中高风险（4）和高风险（5）五个等级。表征研究区域内多种自然灾害的综合影响下，可能导致的道路交通系统损失或损害的相对大小，可以为道路风险防范与应急管理提供参考依据。</w:t>
      </w:r>
    </w:p>
    <w:p>
      <w:r>
        <w:rPr>
          <w:sz w:val="32"/>
        </w:rPr>
        <w:t>2、关键词</w:t>
      </w:r>
    </w:p>
    <w:p>
      <w:pPr>
        <w:ind w:left="432"/>
      </w:pPr>
      <w:r>
        <w:rPr>
          <w:sz w:val="22"/>
        </w:rPr>
        <w:t>主题关键词：</w:t>
      </w:r>
      <w:r>
        <w:rPr>
          <w:sz w:val="22"/>
        </w:rPr>
        <w:t>交通</w:t>
      </w:r>
      <w:r>
        <w:t>,</w:t>
      </w:r>
      <w:r>
        <w:rPr>
          <w:sz w:val="22"/>
        </w:rPr>
        <w:t>公路</w:t>
        <w:br/>
      </w:r>
      <w:r>
        <w:rPr>
          <w:sz w:val="22"/>
        </w:rPr>
        <w:t>学科关键词：</w:t>
      </w:r>
      <w:r>
        <w:rPr>
          <w:sz w:val="22"/>
        </w:rPr>
        <w:t>人地关系</w:t>
        <w:br/>
      </w:r>
      <w:r>
        <w:rPr>
          <w:sz w:val="22"/>
        </w:rPr>
        <w:t>地点关键词：</w:t>
      </w:r>
      <w:r>
        <w:rPr>
          <w:sz w:val="22"/>
        </w:rPr>
        <w:t>喜马拉雅</w:t>
        <w:br/>
      </w:r>
      <w:r>
        <w:rPr>
          <w:sz w:val="22"/>
        </w:rPr>
        <w:t>时间关键词：</w:t>
      </w:r>
      <w:r>
        <w:rPr>
          <w:sz w:val="22"/>
        </w:rPr>
        <w:t>2021</w:t>
      </w:r>
    </w:p>
    <w:p>
      <w:r>
        <w:rPr>
          <w:sz w:val="32"/>
        </w:rPr>
        <w:t>3、数据细节</w:t>
      </w:r>
    </w:p>
    <w:p>
      <w:pPr>
        <w:ind w:left="432"/>
      </w:pPr>
      <w:r>
        <w:rPr>
          <w:sz w:val="22"/>
        </w:rPr>
        <w:t>1.比例尺：None</w:t>
      </w:r>
    </w:p>
    <w:p>
      <w:pPr>
        <w:ind w:left="432"/>
      </w:pPr>
      <w:r>
        <w:rPr>
          <w:sz w:val="22"/>
        </w:rPr>
        <w:t>2.投影：GCS_China_Geodetic_Coordinate_System_2000</w:t>
      </w:r>
    </w:p>
    <w:p>
      <w:pPr>
        <w:ind w:left="432"/>
      </w:pPr>
      <w:r>
        <w:rPr>
          <w:sz w:val="22"/>
        </w:rPr>
        <w:t>3.文件大小：682.0MB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北：34.93</w:t>
            </w:r>
          </w:p>
        </w:tc>
        <w:tc>
          <w:tcPr>
            <w:tcW w:type="dxa" w:w="2880"/>
          </w:tcPr>
          <w:p>
            <w:r>
              <w:t>-</w:t>
            </w:r>
          </w:p>
        </w:tc>
      </w:tr>
      <w:tr>
        <w:tc>
          <w:tcPr>
            <w:tcW w:type="dxa" w:w="2880"/>
          </w:tcPr>
          <w:p>
            <w:r>
              <w:t>西：73.77</w:t>
            </w:r>
          </w:p>
        </w:tc>
        <w:tc>
          <w:tcPr>
            <w:tcW w:type="dxa" w:w="2880"/>
          </w:tcPr>
          <w:p>
            <w:r>
              <w:t>-</w:t>
            </w:r>
          </w:p>
        </w:tc>
        <w:tc>
          <w:tcPr>
            <w:tcW w:type="dxa" w:w="2880"/>
          </w:tcPr>
          <w:p>
            <w:r>
              <w:t>东：97.45</w:t>
            </w:r>
          </w:p>
        </w:tc>
      </w:tr>
      <w:tr>
        <w:tc>
          <w:tcPr>
            <w:tcW w:type="dxa" w:w="2880"/>
          </w:tcPr>
          <w:p>
            <w:r>
              <w:t>-</w:t>
            </w:r>
          </w:p>
        </w:tc>
        <w:tc>
          <w:tcPr>
            <w:tcW w:type="dxa" w:w="2880"/>
          </w:tcPr>
          <w:p>
            <w:r>
              <w:t>南：26.64</w:t>
            </w:r>
          </w:p>
        </w:tc>
        <w:tc>
          <w:tcPr>
            <w:tcW w:type="dxa" w:w="2880"/>
          </w:tcPr>
          <w:p>
            <w:r>
              <w:t>-</w:t>
            </w:r>
          </w:p>
        </w:tc>
      </w:tr>
    </w:tbl>
    <w:p>
      <w:r>
        <w:rPr>
          <w:sz w:val="32"/>
        </w:rPr>
        <w:t>5、时间范围</w:t>
      </w:r>
      <w:r>
        <w:rPr>
          <w:sz w:val="22"/>
        </w:rPr>
        <w:t>2020-12-31 16:00:00+00:00</w:t>
      </w:r>
      <w:r>
        <w:rPr>
          <w:sz w:val="22"/>
        </w:rPr>
        <w:t>--</w:t>
      </w:r>
      <w:r>
        <w:rPr>
          <w:sz w:val="22"/>
        </w:rPr>
        <w:t>2021-12-30 16:00:00+00:00</w:t>
      </w:r>
    </w:p>
    <w:p>
      <w:r>
        <w:rPr>
          <w:sz w:val="32"/>
        </w:rPr>
        <w:t>6、引用方式</w:t>
      </w:r>
    </w:p>
    <w:p>
      <w:pPr>
        <w:ind w:left="432"/>
      </w:pPr>
      <w:r>
        <w:rPr>
          <w:sz w:val="22"/>
        </w:rPr>
        <w:t xml:space="preserve">数据的引用: </w:t>
      </w:r>
    </w:p>
    <w:p>
      <w:pPr>
        <w:ind w:left="432" w:firstLine="432"/>
      </w:pPr>
      <w:r>
        <w:t xml:space="preserve">杨赛霓. 喜马拉雅山周边及亚洲水塔区道路交通综合风险（2021）. 时空三极环境大数据平台, DOI:10.11888/HumanNat.tpdc.271923, CSTR:18406.11.HumanNat.tpdc.271923, </w:t>
      </w:r>
      <w:r>
        <w:t>2021</w:t>
      </w:r>
      <w:r>
        <w:t>.[</w:t>
      </w:r>
      <w:r>
        <w:t xml:space="preserve">YANG   Saini. Comprehensive risk of road traffic in Himalayan and Asian water tower area (2021). A Big Earth Data Platform for Three Poles, DOI:10.11888/HumanNat.tpdc.271923, CSTR:18406.11.HumanNat.tpdc.271923,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杨赛霓</w:t>
        <w:br/>
      </w:r>
      <w:r>
        <w:rPr>
          <w:sz w:val="22"/>
        </w:rPr>
        <w:t xml:space="preserve">单位: </w:t>
      </w:r>
      <w:r>
        <w:rPr>
          <w:sz w:val="22"/>
        </w:rPr>
        <w:t>北京师范大学</w:t>
        <w:br/>
      </w:r>
      <w:r>
        <w:rPr>
          <w:sz w:val="22"/>
        </w:rPr>
        <w:t xml:space="preserve">电子邮件: </w:t>
      </w:r>
      <w:r>
        <w:rPr>
          <w:sz w:val="22"/>
        </w:rPr>
        <w:t>yangsaini@bnu.edu.cn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