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青海省妇联干部基本状况（1998-2020）</w:t>
      </w:r>
    </w:p>
    <w:p>
      <w:r>
        <w:rPr>
          <w:sz w:val="22"/>
        </w:rPr>
        <w:t>英文标题：Basic situation of cadres of women's Federation of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-2020年青海省妇联干部基本状况的统计数据，数据是按按行政级别、按干部年龄、按干部政治面貌、按干部文化程度划分的。数据整理自青海省统计局发布的青海省统计年鉴。数据集包含38个数据表，各数据表结构相同。例如2011-2014年的数据表共有5个字段：</w:t>
        <w:br/>
        <w:t>字段1：项目</w:t>
        <w:br/>
        <w:t>字段2：2011</w:t>
        <w:br/>
        <w:t>字段3：2012</w:t>
        <w:br/>
        <w:t>字段4：2013</w:t>
        <w:br/>
        <w:t>字段5：2014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青海省妇联干部基本状况（1998-2020）. 时空三极环境大数据平台, </w:t>
      </w:r>
      <w:r>
        <w:t>2021</w:t>
      </w:r>
      <w:r>
        <w:t>.[</w:t>
      </w:r>
      <w:r>
        <w:t xml:space="preserve">Qinghai Provincial Bureau of Statistics. Basic situation of cadres of women's Federation of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