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黑河上游山区山体阴影时空分布数据</w:t>
      </w:r>
    </w:p>
    <w:p>
      <w:r>
        <w:rPr>
          <w:sz w:val="22"/>
        </w:rPr>
        <w:t>英文标题：The spatial-temporal distribution of topographic shadows in the upper reaches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山区山体阴影时空分布图（2018年），本数据基于STRM数字高程模型和太阳位置变化(http://www.esrl.noaa.gov/gmd/grad/solcalc/azel.html)，采用通视分析计算得到，空间分辨率为100m，时间分辨率为15分钟，可用于冻土、积雪、生态水文和遥感研究等领域。利用黑河上游多个自动气象站观测的太阳辐射进行综合对比分析，对计算结果进行了精度验证，可以准确地捕捉气象站位置山体阴影的时空变化，其中时间误差20分钟以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山体阴影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太阳入射辐射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3.文件大小：3000.0MB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2018-01-10 00:00:00+00:00</w:t>
      </w:r>
      <w:r>
        <w:rPr>
          <w:sz w:val="22"/>
        </w:rPr>
        <w:t>--</w:t>
      </w:r>
      <w:r>
        <w:rPr>
          <w:sz w:val="22"/>
        </w:rPr>
        <w:t>2019-01-09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张艳林. 黑河上游山区山体阴影时空分布数据. 时空三极环境大数据平台, </w:t>
      </w:r>
      <w:r>
        <w:t>2019</w:t>
      </w:r>
      <w:r>
        <w:t>.[</w:t>
      </w:r>
      <w:r>
        <w:t xml:space="preserve">ZHANG Yanlin. The spatial-temporal distribution of topographic shadows in the upper reaches of Heihe River Basin.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Chen, X.Z., &amp; Lu, L. (1999). Modification of solar radiation model over rugged terrain. Chinese Science Bulletin, 44(15), 1345-1350.</w:t>
        <w:br/>
        <w:br/>
      </w:r>
      <w:r>
        <w:t>Zhang, Y.L., Li, X., Cheng, G.D., Jin, H.J., Yang, D.W., Flerchinger, GN, Chang, X.L., Wang, X., &amp; Liang, J. (2018). Influences of Topographic Shadows on the Thermal and Hydrological Processes in a Cold Region Mountainous Watershed in Northwest China. Journal of Advances in Modeling Earth Systems, 10, 1439-1457, doi: 10.1029/2017MS001264.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张艳林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zhangyanl02@163.com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