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青海湖流域沙漠（沙地）分布数据集 （2000）</w:t>
      </w:r>
    </w:p>
    <w:p>
      <w:r>
        <w:rPr>
          <w:sz w:val="22"/>
        </w:rPr>
        <w:t>英文标题：Data of distribution of desert for The QinghaiLake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青海湖流域10万沙漠分布图，本数据以2000年TM影像为数据源，进行解译、提取、修编，利用遥感与地理信息系统技术结合1:10万比例尺成图要求，对沙漠、沙地和砾质戈壁进行专题制图。数据属性表：area（面积）、perimeter（周长）、ashm_(序列码）、class（沙漠编码）、ashm_id（沙漠编码）其中沙漠编码如下：流动沙地 2341010、半流动沙地 2341020、半固定沙地 2341030、戈壁 2342000、盐碱地 2343000。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沙漠、沙地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颜长珍. 青海湖流域沙漠（沙地）分布数据集 （2000）. 时空三极环境大数据平台, </w:t>
      </w:r>
      <w:r>
        <w:t>2014</w:t>
      </w:r>
      <w:r>
        <w:t>.[</w:t>
      </w:r>
      <w:r>
        <w:t xml:space="preserve">YAN Changzhen, WANG Jianhua. Data of distribution of desert for The QinghaiLake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颜长珍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yancz@lzb.ac.cn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