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大别山造山带新县二长花岗岩体同位素年龄和地球化学组成数据</w:t>
      </w:r>
    </w:p>
    <w:p>
      <w:r>
        <w:rPr>
          <w:sz w:val="22"/>
        </w:rPr>
        <w:t>英文标题：Isotopic age and geochemical composition of the Xinxian monzonitic granite in the Dabie orogenic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锆石LA-ICP-MS分析结果表明，新县岩体主体为二长花岗岩，按照其结晶粒度可分为三个岩石单元，形成于133~129 Ma 之间，并保存有古元古代继承锆石。XRF和ICP-MS分析方法获得的全岩主量和微量元素地球化学组成显示，岩石具有富硅和富碱特征，属于（弱） 过铝质高钾钙碱性系列，亏损Ba、Sr 等大离子亲石元素和P、Ti 等高场强元素，无显著的Nb-Ta 亏损。在稀土元素配分模式图中，具有富集轻稀土、亏损中稀土、弱富集重稀土元素等特征，并具有明显的Eu 负异常，表明岩浆源区可能为角闪石稳定区域，而非加厚下地壳的石榴子石稳定区，推测岩浆形成于加厚地壳的伸展减薄环境。TIMS方法获得全岩Sr-Nd-Pb同位素组成，表明岩浆源区主要由古老的地壳物质构成。数据源自科研项目“国家重点研发计划“燕山期重大地质事件的深部过程与资源效应”（2016YFC0600404)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同位素Ma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秦岭-大别造山带</w:t>
        <w:br/>
      </w:r>
      <w:r>
        <w:rPr>
          <w:sz w:val="22"/>
        </w:rPr>
        <w:t>时间关键词：</w:t>
      </w:r>
      <w:r>
        <w:rPr>
          <w:sz w:val="22"/>
        </w:rPr>
        <w:t>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陈福坤. 大别山造山带新县二长花岗岩体同位素年龄和地球化学组成数据. 时空三极环境大数据平台, DOI:10.16108/j.issn1006-7493.2019031, CSTR:, </w:t>
      </w:r>
      <w:r>
        <w:t>2021</w:t>
      </w:r>
      <w:r>
        <w:t>.[</w:t>
      </w:r>
      <w:r>
        <w:t xml:space="preserve">CHEN   Fukun. Isotopic age and geochemical composition of the Xinxian monzonitic granite in the Dabie orogenic belt. A Big Earth Data Platform for Three Poles, DOI:10.16108/j.issn1006-7493.2019031,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杨春玥, 何俊, 杨一增, 陈福坤. (2020). 大别山造山带新县二长花岗岩体地球化学与岩石成因. 高校地质学报, 26(2), 132-146.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国家重点研发计划“燕山期重大地质事件的深部过程与资源效应”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陈福坤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fkchen@ustc.edu.cn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